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B7" w:rsidRDefault="003226B7" w:rsidP="003226B7">
      <w:pPr>
        <w:pStyle w:val="ConsPlusNormal0"/>
        <w:tabs>
          <w:tab w:val="center" w:pos="9214"/>
        </w:tabs>
        <w:spacing w:before="220"/>
        <w:ind w:left="-426" w:right="-88"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3226B7" w:rsidRDefault="003226B7" w:rsidP="003226B7">
      <w:pPr>
        <w:pStyle w:val="Style1"/>
        <w:widowControl/>
        <w:spacing w:line="274" w:lineRule="exact"/>
        <w:ind w:left="5069"/>
        <w:rPr>
          <w:rStyle w:val="FontStyle12"/>
        </w:rPr>
      </w:pPr>
      <w:r>
        <w:rPr>
          <w:rStyle w:val="FontStyle12"/>
        </w:rPr>
        <w:t>к Порядку оценки качества</w:t>
      </w:r>
    </w:p>
    <w:p w:rsidR="003226B7" w:rsidRDefault="003226B7" w:rsidP="003226B7">
      <w:pPr>
        <w:pStyle w:val="Style1"/>
        <w:widowControl/>
        <w:spacing w:line="274" w:lineRule="exact"/>
        <w:ind w:left="5069"/>
        <w:rPr>
          <w:rStyle w:val="FontStyle12"/>
        </w:rPr>
      </w:pPr>
      <w:r>
        <w:rPr>
          <w:rStyle w:val="FontStyle12"/>
        </w:rPr>
        <w:t xml:space="preserve"> финансового менеджмента </w:t>
      </w:r>
    </w:p>
    <w:p w:rsidR="003226B7" w:rsidRDefault="003226B7" w:rsidP="003226B7">
      <w:pPr>
        <w:pStyle w:val="ConsPlusNormal0"/>
        <w:tabs>
          <w:tab w:val="center" w:pos="9214"/>
        </w:tabs>
        <w:ind w:left="-426" w:right="-88" w:firstLine="540"/>
        <w:jc w:val="both"/>
        <w:rPr>
          <w:rFonts w:ascii="Times New Roman" w:hAnsi="Times New Roman"/>
          <w:sz w:val="24"/>
          <w:szCs w:val="24"/>
        </w:rPr>
      </w:pPr>
    </w:p>
    <w:p w:rsidR="0014011A" w:rsidRDefault="003226B7" w:rsidP="003226B7">
      <w:pPr>
        <w:pStyle w:val="ConsPlusNormal0"/>
        <w:ind w:left="-426" w:right="532" w:firstLine="0"/>
        <w:jc w:val="center"/>
        <w:rPr>
          <w:rFonts w:ascii="Times New Roman" w:hAnsi="Times New Roman"/>
        </w:rPr>
      </w:pPr>
      <w:bookmarkStart w:id="0" w:name="P1544"/>
      <w:bookmarkEnd w:id="0"/>
      <w:proofErr w:type="gramStart"/>
      <w:r>
        <w:rPr>
          <w:rFonts w:ascii="Times New Roman" w:hAnsi="Times New Roman"/>
        </w:rPr>
        <w:t xml:space="preserve">Отчет о результатах качества финансового менеджмента в отношении главных  администраторов средств  бюджета </w:t>
      </w:r>
      <w:proofErr w:type="spellStart"/>
      <w:r>
        <w:rPr>
          <w:rFonts w:ascii="Times New Roman" w:hAnsi="Times New Roman"/>
        </w:rPr>
        <w:t>Ольховатского</w:t>
      </w:r>
      <w:proofErr w:type="spellEnd"/>
      <w:r>
        <w:rPr>
          <w:rFonts w:ascii="Times New Roman" w:hAnsi="Times New Roman"/>
        </w:rPr>
        <w:t xml:space="preserve"> муниципального районного (главных  распорядителей средств бюджета </w:t>
      </w:r>
      <w:proofErr w:type="spellStart"/>
      <w:r>
        <w:rPr>
          <w:rFonts w:ascii="Times New Roman" w:hAnsi="Times New Roman"/>
        </w:rPr>
        <w:t>Ольховатского</w:t>
      </w:r>
      <w:proofErr w:type="spellEnd"/>
      <w:r>
        <w:rPr>
          <w:rFonts w:ascii="Times New Roman" w:hAnsi="Times New Roman"/>
        </w:rPr>
        <w:t xml:space="preserve"> муниципального района, главных администраторов доходов средств бюджета </w:t>
      </w:r>
      <w:proofErr w:type="spellStart"/>
      <w:r>
        <w:rPr>
          <w:rFonts w:ascii="Times New Roman" w:hAnsi="Times New Roman"/>
        </w:rPr>
        <w:t>Ольховатского</w:t>
      </w:r>
      <w:proofErr w:type="spellEnd"/>
      <w:r>
        <w:rPr>
          <w:rFonts w:ascii="Times New Roman" w:hAnsi="Times New Roman"/>
        </w:rPr>
        <w:t xml:space="preserve"> муниципального района, главных администраторов  источников финансирования дефицита средств бюджета </w:t>
      </w:r>
      <w:proofErr w:type="spellStart"/>
      <w:r>
        <w:rPr>
          <w:rFonts w:ascii="Times New Roman" w:hAnsi="Times New Roman"/>
        </w:rPr>
        <w:t>Ольховатского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  <w:r w:rsidR="0014011A">
        <w:rPr>
          <w:rFonts w:ascii="Times New Roman" w:hAnsi="Times New Roman"/>
        </w:rPr>
        <w:t xml:space="preserve"> </w:t>
      </w:r>
      <w:proofErr w:type="gramEnd"/>
    </w:p>
    <w:p w:rsidR="002A6B6C" w:rsidRDefault="0014011A" w:rsidP="004B46AA">
      <w:pPr>
        <w:pStyle w:val="ConsPlusNormal0"/>
        <w:ind w:left="-426" w:right="53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202</w:t>
      </w:r>
      <w:r w:rsidR="002A70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</w:p>
    <w:p w:rsidR="003226B7" w:rsidRDefault="003226B7" w:rsidP="004B46AA">
      <w:pPr>
        <w:pStyle w:val="ConsPlusNormal0"/>
        <w:ind w:left="-426" w:right="532"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1701"/>
        <w:gridCol w:w="2552"/>
        <w:gridCol w:w="2268"/>
      </w:tblGrid>
      <w:tr w:rsidR="003226B7" w:rsidTr="007E28A2">
        <w:trPr>
          <w:trHeight w:val="1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ГАСРБ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Рейтинговая оценка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оценка качества финансового менеджмента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right="50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</w:p>
        </w:tc>
      </w:tr>
    </w:tbl>
    <w:p w:rsidR="003226B7" w:rsidRDefault="003226B7" w:rsidP="003226B7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1701"/>
        <w:gridCol w:w="2552"/>
        <w:gridCol w:w="2268"/>
      </w:tblGrid>
      <w:tr w:rsidR="003226B7" w:rsidTr="007E28A2">
        <w:trPr>
          <w:trHeight w:val="23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26B7" w:rsidTr="004B46AA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Pr="00D40EE0" w:rsidRDefault="003226B7" w:rsidP="001E3F1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EE0">
              <w:rPr>
                <w:rFonts w:ascii="Times New Roman" w:hAnsi="Times New Roman"/>
                <w:sz w:val="20"/>
                <w:szCs w:val="20"/>
              </w:rPr>
              <w:t>АДМИНИСТРАЦИЯ 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87739E" w:rsidP="002A70D0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70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7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226B7" w:rsidTr="007E3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Pr="007E37B3" w:rsidRDefault="00D40EE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7B3">
              <w:rPr>
                <w:rFonts w:ascii="Times New Roman" w:hAnsi="Times New Roman"/>
                <w:sz w:val="20"/>
                <w:szCs w:val="20"/>
              </w:rPr>
              <w:t>ФИНАНСОВЫЙ ОТДЕЛ АДМИНИСТРАЦИИ 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87739E" w:rsidP="002A70D0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</w:t>
            </w:r>
            <w:r w:rsidR="002A7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226B7" w:rsidTr="007E3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Pr="007E37B3" w:rsidRDefault="00D40EE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7B3">
              <w:rPr>
                <w:rFonts w:ascii="Times New Roman" w:hAnsi="Times New Roman"/>
                <w:sz w:val="20"/>
                <w:szCs w:val="20"/>
              </w:rPr>
              <w:t>РЕВИЗИОННАЯ КОМИССИЯ 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226B7" w:rsidTr="007E3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Pr="007E37B3" w:rsidRDefault="00D40EE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7B3">
              <w:rPr>
                <w:rFonts w:ascii="Times New Roman" w:hAnsi="Times New Roman"/>
                <w:sz w:val="20"/>
                <w:szCs w:val="20"/>
              </w:rPr>
              <w:t>СОВЕТ НАРОДНЫХ ДЕПУТАТОВ 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226B7" w:rsidTr="007E3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D40EE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B3">
              <w:rPr>
                <w:rFonts w:ascii="Times New Roman" w:hAnsi="Times New Roman"/>
                <w:sz w:val="18"/>
                <w:szCs w:val="18"/>
              </w:rPr>
              <w:t>ОТДЕЛ КУЛЬТУРЫ АДМИНИСТРАЦИИ</w:t>
            </w:r>
            <w:r w:rsidRPr="00D4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7B3">
              <w:rPr>
                <w:rFonts w:ascii="Times New Roman" w:hAnsi="Times New Roman"/>
                <w:sz w:val="18"/>
                <w:szCs w:val="18"/>
              </w:rPr>
              <w:t>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2A70D0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40EE0" w:rsidTr="007E3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0" w:rsidRDefault="00D40EE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0" w:rsidRPr="007E37B3" w:rsidRDefault="00D40EE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7B3">
              <w:rPr>
                <w:rFonts w:ascii="Times New Roman" w:hAnsi="Times New Roman"/>
                <w:sz w:val="18"/>
                <w:szCs w:val="18"/>
              </w:rPr>
              <w:t>ОТДЕЛ ОБРАЗОВАНИЯ АДМИНИСТРАЦИИ ОЛЬХОВАТСКОГО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0" w:rsidRDefault="002A70D0" w:rsidP="001E3F1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0" w:rsidRDefault="002A70D0" w:rsidP="0087739E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0" w:rsidRDefault="007E28A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226B7" w:rsidTr="007E37B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среднего уровня качества финансового менеджмента ГАСРБ  (MR)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7" w:rsidRDefault="00DF153D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A70D0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B7" w:rsidRDefault="003226B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4B46AA" w:rsidRDefault="002A70D0">
      <w:r>
        <w:t>29</w:t>
      </w:r>
      <w:r w:rsidR="009D325A">
        <w:t>.0</w:t>
      </w:r>
      <w:r>
        <w:t>2</w:t>
      </w:r>
      <w:r w:rsidR="009D325A">
        <w:t>.202</w:t>
      </w:r>
      <w:r w:rsidR="007814F7">
        <w:t>3</w:t>
      </w:r>
      <w:bookmarkStart w:id="1" w:name="_GoBack"/>
      <w:bookmarkEnd w:id="1"/>
    </w:p>
    <w:p w:rsidR="004B46AA" w:rsidRDefault="004B46AA">
      <w:r>
        <w:t xml:space="preserve"> Руководитель финансового отдела</w:t>
      </w:r>
    </w:p>
    <w:p w:rsidR="004B46AA" w:rsidRDefault="004B46AA">
      <w:r>
        <w:t xml:space="preserve"> </w:t>
      </w:r>
    </w:p>
    <w:p w:rsidR="004B46AA" w:rsidRDefault="004B46AA">
      <w:r>
        <w:t xml:space="preserve">администрации </w:t>
      </w:r>
      <w:proofErr w:type="spellStart"/>
      <w:r>
        <w:t>Ольховатского</w:t>
      </w:r>
      <w:proofErr w:type="spellEnd"/>
      <w:r>
        <w:t xml:space="preserve"> МР                                       В.В Гончарова</w:t>
      </w:r>
    </w:p>
    <w:sectPr w:rsidR="004B46AA" w:rsidSect="002A6B6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3"/>
    <w:rsid w:val="0014011A"/>
    <w:rsid w:val="001E3F18"/>
    <w:rsid w:val="002A6B6C"/>
    <w:rsid w:val="002A70D0"/>
    <w:rsid w:val="003226B7"/>
    <w:rsid w:val="0037664C"/>
    <w:rsid w:val="004B46AA"/>
    <w:rsid w:val="00525EB3"/>
    <w:rsid w:val="00607271"/>
    <w:rsid w:val="007814F7"/>
    <w:rsid w:val="007E28A2"/>
    <w:rsid w:val="007E37B3"/>
    <w:rsid w:val="0087739E"/>
    <w:rsid w:val="009D325A"/>
    <w:rsid w:val="00CA5D3A"/>
    <w:rsid w:val="00D40EE0"/>
    <w:rsid w:val="00D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26B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22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3226B7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3226B7"/>
    <w:pPr>
      <w:widowControl w:val="0"/>
      <w:autoSpaceDE w:val="0"/>
      <w:autoSpaceDN w:val="0"/>
      <w:adjustRightInd w:val="0"/>
      <w:spacing w:line="275" w:lineRule="exact"/>
      <w:jc w:val="right"/>
    </w:pPr>
  </w:style>
  <w:style w:type="character" w:customStyle="1" w:styleId="FontStyle12">
    <w:name w:val="Font Style12"/>
    <w:uiPriority w:val="99"/>
    <w:rsid w:val="003226B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26B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22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3226B7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3226B7"/>
    <w:pPr>
      <w:widowControl w:val="0"/>
      <w:autoSpaceDE w:val="0"/>
      <w:autoSpaceDN w:val="0"/>
      <w:adjustRightInd w:val="0"/>
      <w:spacing w:line="275" w:lineRule="exact"/>
      <w:jc w:val="right"/>
    </w:pPr>
  </w:style>
  <w:style w:type="character" w:customStyle="1" w:styleId="FontStyle12">
    <w:name w:val="Font Style12"/>
    <w:uiPriority w:val="99"/>
    <w:rsid w:val="003226B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dohod4</dc:creator>
  <cp:keywords/>
  <dc:description/>
  <cp:lastModifiedBy>dohod4</cp:lastModifiedBy>
  <cp:revision>17</cp:revision>
  <cp:lastPrinted>2022-05-18T12:32:00Z</cp:lastPrinted>
  <dcterms:created xsi:type="dcterms:W3CDTF">2022-05-18T12:22:00Z</dcterms:created>
  <dcterms:modified xsi:type="dcterms:W3CDTF">2024-02-28T13:31:00Z</dcterms:modified>
</cp:coreProperties>
</file>